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pacing w:line="360" w:lineRule="auto"/>
        <w:jc w:val="center"/>
        <w:rPr>
          <w:rFonts w:hint="eastAsia" w:asciiTheme="minorEastAsia" w:hAnsiTheme="minorEastAsia" w:eastAsiaTheme="minorEastAsia" w:cstheme="minorEastAsia"/>
          <w:b/>
          <w:color w:val="FF0000"/>
          <w:spacing w:val="14"/>
          <w:kern w:val="32"/>
          <w:sz w:val="52"/>
          <w:szCs w:val="52"/>
        </w:rPr>
      </w:pPr>
      <w:r>
        <w:rPr>
          <w:rFonts w:hint="eastAsia" w:asciiTheme="minorEastAsia" w:hAnsiTheme="minorEastAsia" w:eastAsiaTheme="minorEastAsia" w:cstheme="minorEastAsia"/>
          <w:b/>
          <w:color w:val="FF0000"/>
          <w:spacing w:val="14"/>
          <w:kern w:val="32"/>
          <w:sz w:val="52"/>
          <w:szCs w:val="52"/>
        </w:rPr>
        <w:t>北京市物业服务评估监理协会</w:t>
      </w:r>
    </w:p>
    <w:p>
      <w:pPr>
        <w:tabs>
          <w:tab w:val="center" w:pos="4153"/>
        </w:tabs>
        <w:spacing w:line="360" w:lineRule="auto"/>
        <w:ind w:right="150"/>
        <w:jc w:val="center"/>
        <w:rPr>
          <w:rFonts w:hint="eastAsia" w:asciiTheme="minorEastAsia" w:hAnsiTheme="minorEastAsia" w:eastAsiaTheme="minorEastAsia" w:cstheme="minorEastAsia"/>
          <w:b/>
          <w:color w:val="FF0000"/>
          <w:spacing w:val="14"/>
          <w:kern w:val="32"/>
          <w:sz w:val="52"/>
          <w:szCs w:val="52"/>
          <w:lang w:val="en-US" w:eastAsia="zh-CN"/>
        </w:rPr>
      </w:pPr>
      <w:r>
        <w:rPr>
          <w:rFonts w:hint="eastAsia" w:asciiTheme="minorEastAsia" w:hAnsiTheme="minorEastAsia" w:eastAsiaTheme="minorEastAsia" w:cstheme="minorEastAsia"/>
          <w:kern w:val="0"/>
          <w:sz w:val="30"/>
          <w:szCs w:val="30"/>
        </w:rPr>
        <w:t>京物评协字[201</w:t>
      </w:r>
      <w:r>
        <w:rPr>
          <w:rFonts w:hint="eastAsia" w:asciiTheme="minorEastAsia" w:hAnsi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w:t>
      </w:r>
      <w:r>
        <w:rPr>
          <w:rFonts w:hint="eastAsia" w:asciiTheme="minorEastAsia" w:hAnsiTheme="minorEastAsia" w:cstheme="minorEastAsia"/>
          <w:kern w:val="0"/>
          <w:sz w:val="30"/>
          <w:szCs w:val="30"/>
          <w:lang w:val="en-US" w:eastAsia="zh-CN"/>
        </w:rPr>
        <w:t>4</w:t>
      </w:r>
      <w:r>
        <w:rPr>
          <w:rFonts w:hint="eastAsia" w:asciiTheme="minorEastAsia" w:hAnsiTheme="minorEastAsia" w:eastAsiaTheme="minorEastAsia" w:cstheme="minorEastAsia"/>
          <w:kern w:val="0"/>
          <w:sz w:val="30"/>
          <w:szCs w:val="30"/>
        </w:rPr>
        <w:t>号</w:t>
      </w:r>
    </w:p>
    <w:p>
      <w:pPr>
        <w:spacing w:line="360" w:lineRule="auto"/>
        <w:jc w:val="center"/>
        <w:rPr>
          <w:sz w:val="10"/>
          <w:szCs w:val="10"/>
        </w:rPr>
      </w:pPr>
      <w: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99060</wp:posOffset>
                </wp:positionV>
                <wp:extent cx="5715000" cy="0"/>
                <wp:effectExtent l="0" t="13970" r="0" b="241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8pt;margin-top:7.8pt;height:0pt;width:450pt;z-index:251658240;mso-width-relative:page;mso-height-relative:page;" filled="f" stroked="t" coordsize="21600,21600" o:gfxdata="UEsDBAoAAAAAAIdO4kAAAAAAAAAAAAAAAAAEAAAAZHJzL1BLAwQUAAAACACHTuJAenXfcNYAAAAJ&#10;AQAADwAAAGRycy9kb3ducmV2LnhtbE2PzU7DMBCE70h9B2srcWudFoiiEKdqEdyQEOGnVzde4qjx&#10;OordNH17FnGA486MZr8pNpPrxIhDaD0pWC0TEEi1Ny01Ct7fnhYZiBA1Gd15QgUXDLApZ1eFzo0/&#10;0yuOVWwEl1DItQIbY59LGWqLToel75HY+/KD05HPoZFm0Gcud51cJ0kqnW6JP1jd44PF+lidnILp&#10;M9va/XPcPfqPF3uc9pUb1xelruer5B5ExCn+heEHn9GhZKaDP5EJolOwuEl5S2TjLgXBgSy9ZeHw&#10;K8iykP8XlN9QSwMEFAAAAAgAh07iQJDO4SbQAQAAawMAAA4AAABkcnMvZTJvRG9jLnhtbK1TS27b&#10;MBDdF8gdCO5jyQbcBILlLBw4m6Q1kPQANElJREkOQdKWfIleoEB37arL7nubJsfokP40SXdFNwNx&#10;5s2bzxvNrgajyVb6oMDWdDwqKZGWg1C2remHh+X5JSUhMiuYBitrupOBXs3P3sx6V8kJdKCF9ARJ&#10;bKh6V9MuRlcVReCdNCyMwEmLwQa8YRGfvi2EZz2yG11MyvJt0YMXzgOXIaD3eh+k88zfNJLH900T&#10;ZCS6pthbzNZnu062mM9Y1XrmOsUPbbB/6MIwZbHoieqaRUY2Xv1FZRT3EKCJIw6mgKZRXOYZcJpx&#10;+Wqa+445mWfB5QR3WlP4f7T83XbliRKoHSWWGZTo8fOPX5++Pv38gvbx+zcyTkvqXagQu7Arn8bk&#10;g713t8A/BmJh0THbytzsw84hQ84oXqSkR3BYat3fgUAM20TIGxsabxIl7oIMWZjdSRg5RMLROb0Y&#10;T8sS9ePHWMGqY6LzId5IMCR91FQrm3bGKra9DRFbR+gRktwWlkrrrLu2pK/p5HJ6Mc0ZAbQSKZpw&#10;wbfrhfZky/B0lkssn68F2V7APGys2FfRNuXJfHWH0sex9wtcg9itfAInPyqamztcXzqZ5++M+vOP&#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nXfcNYAAAAJAQAADwAAAAAAAAABACAAAAAiAAAA&#10;ZHJzL2Rvd25yZXYueG1sUEsBAhQAFAAAAAgAh07iQJDO4SbQAQAAawMAAA4AAAAAAAAAAQAgAAAA&#10;JQEAAGRycy9lMm9Eb2MueG1sUEsFBgAAAAAGAAYAWQEAAGcFAAAAAA==&#10;">
                <v:fill on="f" focussize="0,0"/>
                <v:stroke weight="2.25pt" color="#FF0000" joinstyle="round"/>
                <v:imagedata o:title=""/>
                <o:lock v:ext="edit" aspectratio="f"/>
              </v:line>
            </w:pict>
          </mc:Fallback>
        </mc:AlternateContent>
      </w:r>
    </w:p>
    <w:p>
      <w:pPr>
        <w:spacing w:line="560" w:lineRule="exact"/>
        <w:jc w:val="center"/>
        <w:rPr>
          <w:rFonts w:hint="eastAsia" w:ascii="方正小标宋简体" w:eastAsia="方正小标宋简体"/>
          <w:b/>
          <w:sz w:val="44"/>
          <w:szCs w:val="44"/>
          <w:lang w:eastAsia="zh-CN"/>
        </w:rPr>
      </w:pPr>
      <w:r>
        <w:rPr>
          <w:rFonts w:hint="eastAsia" w:ascii="方正小标宋简体" w:eastAsia="方正小标宋简体"/>
          <w:b/>
          <w:sz w:val="44"/>
          <w:szCs w:val="44"/>
          <w:lang w:eastAsia="zh-CN"/>
        </w:rPr>
        <w:t>关于加强行业自律，规范物业服务评估监理活动有关问题的通知</w:t>
      </w:r>
    </w:p>
    <w:p>
      <w:pPr>
        <w:spacing w:line="560" w:lineRule="exact"/>
        <w:jc w:val="center"/>
        <w:rPr>
          <w:rFonts w:hint="eastAsia" w:asciiTheme="minorEastAsia" w:hAnsiTheme="minorEastAsia" w:eastAsiaTheme="minorEastAsia" w:cstheme="minorEastAsia"/>
          <w:b/>
          <w:sz w:val="30"/>
          <w:szCs w:val="30"/>
          <w:lang w:eastAsia="zh-CN"/>
        </w:rPr>
      </w:pPr>
      <w:r>
        <w:rPr>
          <w:rFonts w:hint="eastAsia" w:asciiTheme="minorEastAsia" w:hAnsiTheme="minorEastAsia" w:eastAsiaTheme="minorEastAsia" w:cstheme="minorEastAsia"/>
          <w:b/>
          <w:sz w:val="30"/>
          <w:szCs w:val="30"/>
          <w:lang w:eastAsia="zh-CN"/>
        </w:rPr>
        <w:t>（征求</w:t>
      </w:r>
      <w:r>
        <w:rPr>
          <w:rFonts w:hint="eastAsia" w:asciiTheme="minorEastAsia" w:hAnsiTheme="minorEastAsia" w:cstheme="minorEastAsia"/>
          <w:b/>
          <w:sz w:val="30"/>
          <w:szCs w:val="30"/>
          <w:lang w:eastAsia="zh-CN"/>
        </w:rPr>
        <w:t>意见</w:t>
      </w:r>
      <w:r>
        <w:rPr>
          <w:rFonts w:hint="eastAsia" w:asciiTheme="minorEastAsia" w:hAnsiTheme="minorEastAsia" w:eastAsiaTheme="minorEastAsia" w:cstheme="minorEastAsia"/>
          <w:b/>
          <w:sz w:val="30"/>
          <w:szCs w:val="30"/>
          <w:lang w:eastAsia="zh-CN"/>
        </w:rPr>
        <w:t>稿）</w:t>
      </w:r>
    </w:p>
    <w:p>
      <w:pPr>
        <w:keepNext w:val="0"/>
        <w:keepLines w:val="0"/>
        <w:pageBreakBefore w:val="0"/>
        <w:widowControl/>
        <w:kinsoku/>
        <w:wordWrap/>
        <w:overflowPunct/>
        <w:topLinePunct w:val="0"/>
        <w:autoSpaceDE/>
        <w:autoSpaceDN/>
        <w:bidi w:val="0"/>
        <w:adjustRightInd/>
        <w:snapToGrid/>
        <w:spacing w:before="313" w:beforeLines="100" w:line="440" w:lineRule="exact"/>
        <w:jc w:val="left"/>
        <w:textAlignment w:val="auto"/>
        <w:outlineLvl w:val="9"/>
        <w:rPr>
          <w:rFonts w:ascii="宋体" w:hAnsi="宋体" w:eastAsia="宋体" w:cs="宋体"/>
          <w:kern w:val="0"/>
          <w:sz w:val="32"/>
          <w:szCs w:val="32"/>
        </w:rPr>
      </w:pPr>
      <w:r>
        <w:rPr>
          <w:rFonts w:hint="eastAsia" w:ascii="宋体" w:hAnsi="宋体" w:eastAsia="宋体" w:cs="宋体"/>
          <w:kern w:val="0"/>
          <w:sz w:val="32"/>
          <w:szCs w:val="32"/>
          <w:lang w:eastAsia="zh-CN"/>
        </w:rPr>
        <w:t>协会所属会员机构</w:t>
      </w:r>
      <w:r>
        <w:rPr>
          <w:rFonts w:hint="eastAsia" w:ascii="宋体" w:hAnsi="宋体" w:eastAsia="宋体" w:cs="宋体"/>
          <w:kern w:val="0"/>
          <w:sz w:val="32"/>
          <w:szCs w:val="32"/>
        </w:rPr>
        <w:t>：</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为贯彻落实《北京市物业管理办法》（北京市人民政府令第219号），维护物业</w:t>
      </w:r>
      <w:r>
        <w:rPr>
          <w:rFonts w:hint="eastAsia" w:ascii="宋体" w:hAnsi="宋体" w:eastAsia="宋体" w:cs="宋体"/>
          <w:kern w:val="0"/>
          <w:sz w:val="32"/>
          <w:szCs w:val="32"/>
          <w:lang w:eastAsia="zh-CN"/>
        </w:rPr>
        <w:t>服务评估监理</w:t>
      </w:r>
      <w:r>
        <w:rPr>
          <w:rFonts w:hint="eastAsia" w:ascii="宋体" w:hAnsi="宋体" w:eastAsia="宋体" w:cs="宋体"/>
          <w:kern w:val="0"/>
          <w:sz w:val="32"/>
          <w:szCs w:val="32"/>
        </w:rPr>
        <w:t>市场各方主体的合法权益，引导物业服务评估监理机构独立、客观、公正执业，现就规范物业服务评估监理活动有关问题通知如下：</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一、物业服务评估监理机构受托开展业务前，应当与委托方签订书面的委托合同，合同主要内容应当包括：</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（一）物业管理区域和物业项目基本情况；</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lang w:eastAsia="zh-CN"/>
        </w:rPr>
      </w:pPr>
      <w:r>
        <w:rPr>
          <w:rFonts w:hint="eastAsia" w:ascii="宋体" w:hAnsi="宋体" w:eastAsia="宋体" w:cs="宋体"/>
          <w:kern w:val="0"/>
          <w:sz w:val="32"/>
          <w:szCs w:val="32"/>
        </w:rPr>
        <w:t>（二）评估监理内容</w:t>
      </w:r>
      <w:r>
        <w:rPr>
          <w:rFonts w:hint="eastAsia" w:ascii="宋体" w:hAnsi="宋体" w:eastAsia="宋体" w:cs="宋体"/>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（三）评估监理活动依据的技术标准；</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（四）委托期限和完成时限；</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（五）评估报告的提交日期；</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（六）争议解决方式等。</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二、建设单位向全体业主移交物业共用部分之前，双方共同委托物业服务评估监理机构对物业项目共用部分进行查验的，应当在</w:t>
      </w:r>
      <w:r>
        <w:rPr>
          <w:rFonts w:hint="eastAsia" w:ascii="宋体" w:hAnsi="宋体" w:eastAsia="宋体" w:cs="宋体"/>
          <w:kern w:val="0"/>
          <w:sz w:val="32"/>
          <w:szCs w:val="32"/>
          <w:lang w:eastAsia="zh-CN"/>
        </w:rPr>
        <w:t>协会所属会员机构中选择确认</w:t>
      </w:r>
      <w:r>
        <w:rPr>
          <w:rFonts w:hint="eastAsia" w:ascii="宋体" w:hAnsi="宋体" w:eastAsia="宋体" w:cs="宋体"/>
          <w:kern w:val="0"/>
          <w:sz w:val="32"/>
          <w:szCs w:val="32"/>
        </w:rPr>
        <w:t>物业服务评估监理机构。</w:t>
      </w:r>
    </w:p>
    <w:p>
      <w:pPr>
        <w:keepNext w:val="0"/>
        <w:keepLines w:val="0"/>
        <w:pageBreakBefore w:val="0"/>
        <w:widowControl/>
        <w:kinsoku/>
        <w:wordWrap/>
        <w:overflowPunct/>
        <w:topLinePunct w:val="0"/>
        <w:autoSpaceDE/>
        <w:autoSpaceDN/>
        <w:bidi w:val="0"/>
        <w:adjustRightInd/>
        <w:snapToGrid/>
        <w:spacing w:before="157" w:beforeLines="5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lang w:eastAsia="zh-CN"/>
        </w:rPr>
        <w:t>三、</w:t>
      </w:r>
      <w:r>
        <w:rPr>
          <w:rFonts w:hint="eastAsia" w:ascii="宋体" w:hAnsi="宋体" w:eastAsia="宋体" w:cs="宋体"/>
          <w:kern w:val="0"/>
          <w:sz w:val="32"/>
          <w:szCs w:val="32"/>
        </w:rPr>
        <w:t>物业服务评估监理机构不得将受托的评估监理业务转包给其他机构。如有以上行为，经查证属实，暂停其物业服务评估监理</w:t>
      </w:r>
      <w:r>
        <w:rPr>
          <w:rFonts w:hint="eastAsia" w:ascii="宋体" w:hAnsi="宋体" w:eastAsia="宋体" w:cs="宋体"/>
          <w:kern w:val="0"/>
          <w:sz w:val="32"/>
          <w:szCs w:val="32"/>
          <w:lang w:eastAsia="zh-CN"/>
        </w:rPr>
        <w:t>报告备案</w:t>
      </w:r>
      <w:r>
        <w:rPr>
          <w:rFonts w:hint="eastAsia" w:ascii="宋体" w:hAnsi="宋体" w:eastAsia="宋体" w:cs="宋体"/>
          <w:kern w:val="0"/>
          <w:sz w:val="32"/>
          <w:szCs w:val="32"/>
        </w:rPr>
        <w:t>。</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四、物业服务评估监理机构应当独立、客观、公正地开展业务，任何</w:t>
      </w:r>
      <w:r>
        <w:rPr>
          <w:rFonts w:hint="eastAsia" w:ascii="宋体" w:hAnsi="宋体" w:eastAsia="宋体" w:cs="宋体"/>
          <w:kern w:val="0"/>
          <w:sz w:val="32"/>
          <w:szCs w:val="32"/>
          <w:lang w:eastAsia="zh-CN"/>
        </w:rPr>
        <w:t>机构</w:t>
      </w:r>
      <w:r>
        <w:rPr>
          <w:rFonts w:hint="eastAsia" w:ascii="宋体" w:hAnsi="宋体" w:eastAsia="宋体" w:cs="宋体"/>
          <w:kern w:val="0"/>
          <w:sz w:val="32"/>
          <w:szCs w:val="32"/>
        </w:rPr>
        <w:t>和个人不得干预物业服务评估监理活动</w:t>
      </w:r>
      <w:r>
        <w:rPr>
          <w:rFonts w:hint="eastAsia" w:ascii="宋体" w:hAnsi="宋体" w:eastAsia="宋体" w:cs="宋体"/>
          <w:kern w:val="0"/>
          <w:sz w:val="32"/>
          <w:szCs w:val="32"/>
          <w:lang w:eastAsia="zh-CN"/>
        </w:rPr>
        <w:t>。</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五、物业服务评估监理机构应当合理收取评估费用，不得以压低收费</w:t>
      </w:r>
      <w:r>
        <w:rPr>
          <w:rFonts w:hint="eastAsia" w:ascii="宋体" w:hAnsi="宋体" w:eastAsia="宋体" w:cs="宋体"/>
          <w:kern w:val="0"/>
          <w:sz w:val="32"/>
          <w:szCs w:val="32"/>
          <w:lang w:eastAsia="zh-CN"/>
        </w:rPr>
        <w:t>价格</w:t>
      </w:r>
      <w:r>
        <w:rPr>
          <w:rFonts w:hint="eastAsia" w:ascii="宋体" w:hAnsi="宋体" w:eastAsia="宋体" w:cs="宋体"/>
          <w:kern w:val="0"/>
          <w:sz w:val="32"/>
          <w:szCs w:val="32"/>
        </w:rPr>
        <w:t>的方式恶性竞争。物业服务评估监理机构存在以上行为的，</w:t>
      </w:r>
      <w:r>
        <w:rPr>
          <w:rFonts w:hint="eastAsia" w:ascii="宋体" w:hAnsi="宋体" w:eastAsia="宋体" w:cs="宋体"/>
          <w:kern w:val="0"/>
          <w:sz w:val="32"/>
          <w:szCs w:val="32"/>
          <w:lang w:eastAsia="zh-CN"/>
        </w:rPr>
        <w:t>协会</w:t>
      </w:r>
      <w:r>
        <w:rPr>
          <w:rFonts w:hint="eastAsia" w:ascii="宋体" w:hAnsi="宋体" w:eastAsia="宋体" w:cs="宋体"/>
          <w:kern w:val="0"/>
          <w:sz w:val="32"/>
          <w:szCs w:val="32"/>
        </w:rPr>
        <w:t>可以暂停其从事物业服务评估监理</w:t>
      </w:r>
      <w:r>
        <w:rPr>
          <w:rFonts w:hint="eastAsia" w:ascii="宋体" w:hAnsi="宋体" w:eastAsia="宋体" w:cs="宋体"/>
          <w:kern w:val="0"/>
          <w:sz w:val="32"/>
          <w:szCs w:val="32"/>
          <w:lang w:eastAsia="zh-CN"/>
        </w:rPr>
        <w:t>活动的报告备案，并记入企业信用档案，</w:t>
      </w:r>
      <w:r>
        <w:rPr>
          <w:rFonts w:hint="eastAsia" w:ascii="宋体" w:hAnsi="宋体" w:eastAsia="宋体" w:cs="宋体"/>
          <w:sz w:val="32"/>
          <w:szCs w:val="32"/>
          <w:lang w:eastAsia="zh-CN"/>
        </w:rPr>
        <w:t>在协会网站</w:t>
      </w:r>
      <w:r>
        <w:rPr>
          <w:rFonts w:hint="eastAsia" w:ascii="宋体" w:hAnsi="宋体" w:eastAsia="宋体" w:cs="宋体"/>
          <w:sz w:val="32"/>
          <w:szCs w:val="32"/>
        </w:rPr>
        <w:t>向社会公布</w:t>
      </w:r>
      <w:r>
        <w:rPr>
          <w:rFonts w:hint="eastAsia" w:ascii="宋体" w:hAnsi="宋体" w:eastAsia="宋体" w:cs="宋体"/>
          <w:kern w:val="0"/>
          <w:sz w:val="32"/>
          <w:szCs w:val="32"/>
        </w:rPr>
        <w:t>。</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六、物业服务评估监理事项委托人对评估报告有异议的，可以向评估监理机构提出核查，对核查结果有异议的，可以向协会申请质询。协会</w:t>
      </w:r>
      <w:r>
        <w:rPr>
          <w:rFonts w:hint="eastAsia" w:ascii="宋体" w:hAnsi="宋体" w:eastAsia="宋体" w:cs="宋体"/>
          <w:kern w:val="0"/>
          <w:sz w:val="32"/>
          <w:szCs w:val="32"/>
          <w:lang w:eastAsia="zh-CN"/>
        </w:rPr>
        <w:t>和专家技委会应</w:t>
      </w:r>
      <w:r>
        <w:rPr>
          <w:rFonts w:hint="eastAsia" w:ascii="宋体" w:hAnsi="宋体" w:eastAsia="宋体" w:cs="宋体"/>
          <w:kern w:val="0"/>
          <w:sz w:val="32"/>
          <w:szCs w:val="32"/>
        </w:rPr>
        <w:t>受理评估报告质询。</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640" w:firstLineChars="200"/>
        <w:jc w:val="both"/>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经查证，评估监理机构作出的评估报告确有偏向性、虚假内容、误导性陈述或重大遗漏的，协会责令其整改，整改期间</w:t>
      </w:r>
      <w:r>
        <w:rPr>
          <w:rFonts w:hint="eastAsia" w:ascii="宋体" w:hAnsi="宋体" w:eastAsia="宋体" w:cs="宋体"/>
          <w:kern w:val="0"/>
          <w:sz w:val="32"/>
          <w:szCs w:val="32"/>
          <w:lang w:eastAsia="zh-CN"/>
        </w:rPr>
        <w:t>的机构应</w:t>
      </w:r>
      <w:r>
        <w:rPr>
          <w:rFonts w:hint="eastAsia" w:ascii="宋体" w:hAnsi="宋体" w:eastAsia="宋体" w:cs="宋体"/>
          <w:kern w:val="0"/>
          <w:sz w:val="32"/>
          <w:szCs w:val="32"/>
        </w:rPr>
        <w:t>暂停其从事物业服务评估监理业务。</w:t>
      </w:r>
    </w:p>
    <w:p>
      <w:pPr>
        <w:keepNext w:val="0"/>
        <w:keepLines w:val="0"/>
        <w:pageBreakBefore w:val="0"/>
        <w:widowControl/>
        <w:kinsoku/>
        <w:wordWrap/>
        <w:overflowPunct/>
        <w:topLinePunct w:val="0"/>
        <w:autoSpaceDE/>
        <w:autoSpaceDN/>
        <w:bidi w:val="0"/>
        <w:adjustRightInd/>
        <w:snapToGrid/>
        <w:spacing w:before="313" w:beforeLines="100" w:line="440" w:lineRule="exact"/>
        <w:ind w:firstLine="640" w:firstLineChars="200"/>
        <w:jc w:val="left"/>
        <w:textAlignment w:val="auto"/>
        <w:outlineLvl w:val="9"/>
        <w:rPr>
          <w:rFonts w:hint="eastAsia" w:ascii="宋体" w:hAnsi="宋体" w:eastAsia="宋体" w:cs="宋体"/>
          <w:kern w:val="0"/>
          <w:sz w:val="32"/>
          <w:szCs w:val="32"/>
        </w:rPr>
      </w:pPr>
      <w:r>
        <w:rPr>
          <w:rFonts w:hint="eastAsia" w:ascii="宋体" w:hAnsi="宋体" w:eastAsia="宋体" w:cs="宋体"/>
          <w:kern w:val="0"/>
          <w:sz w:val="32"/>
          <w:szCs w:val="32"/>
        </w:rPr>
        <w:t>七、协会应当建立培训制度，</w:t>
      </w:r>
      <w:r>
        <w:rPr>
          <w:rFonts w:hint="eastAsia" w:ascii="宋体" w:hAnsi="宋体" w:eastAsia="宋体" w:cs="宋体"/>
          <w:kern w:val="0"/>
          <w:sz w:val="32"/>
          <w:szCs w:val="32"/>
          <w:lang w:eastAsia="zh-CN"/>
        </w:rPr>
        <w:t>制定培训计划内容，</w:t>
      </w:r>
      <w:r>
        <w:rPr>
          <w:rFonts w:hint="eastAsia" w:ascii="宋体" w:hAnsi="宋体" w:eastAsia="宋体" w:cs="宋体"/>
          <w:kern w:val="0"/>
          <w:sz w:val="32"/>
          <w:szCs w:val="32"/>
        </w:rPr>
        <w:t>定期组织评估监理机构从业人员的业务培训。</w:t>
      </w:r>
    </w:p>
    <w:p>
      <w:pPr>
        <w:keepNext w:val="0"/>
        <w:keepLines w:val="0"/>
        <w:pageBreakBefore w:val="0"/>
        <w:widowControl w:val="0"/>
        <w:kinsoku/>
        <w:wordWrap/>
        <w:overflowPunct/>
        <w:topLinePunct w:val="0"/>
        <w:autoSpaceDE/>
        <w:autoSpaceDN/>
        <w:bidi w:val="0"/>
        <w:adjustRightInd/>
        <w:snapToGrid/>
        <w:spacing w:before="313" w:beforeLines="100"/>
        <w:jc w:val="right"/>
        <w:textAlignment w:val="auto"/>
        <w:outlineLvl w:val="9"/>
        <w:rPr>
          <w:rFonts w:hint="eastAsia"/>
          <w:sz w:val="32"/>
          <w:szCs w:val="32"/>
          <w:lang w:eastAsia="zh-CN"/>
        </w:rPr>
      </w:pPr>
      <w:r>
        <w:rPr>
          <w:rFonts w:hint="eastAsia"/>
          <w:sz w:val="32"/>
          <w:szCs w:val="32"/>
          <w:lang w:eastAsia="zh-CN"/>
        </w:rPr>
        <w:t>北京市物业服务评估监理协会</w:t>
      </w:r>
    </w:p>
    <w:p>
      <w:pPr>
        <w:keepNext w:val="0"/>
        <w:keepLines w:val="0"/>
        <w:pageBreakBefore w:val="0"/>
        <w:widowControl w:val="0"/>
        <w:kinsoku/>
        <w:wordWrap/>
        <w:overflowPunct/>
        <w:topLinePunct w:val="0"/>
        <w:autoSpaceDE/>
        <w:autoSpaceDN/>
        <w:bidi w:val="0"/>
        <w:adjustRightInd/>
        <w:snapToGrid/>
        <w:spacing w:after="313" w:afterLines="100"/>
        <w:ind w:firstLine="640" w:firstLineChars="200"/>
        <w:jc w:val="right"/>
        <w:textAlignment w:val="auto"/>
        <w:rPr>
          <w:rFonts w:hint="eastAsia"/>
          <w:sz w:val="32"/>
          <w:szCs w:val="32"/>
          <w:lang w:val="en-US" w:eastAsia="zh-CN"/>
        </w:rPr>
      </w:pPr>
      <w:r>
        <w:rPr>
          <w:rFonts w:hint="eastAsia" w:ascii="宋体" w:hAnsi="宋体" w:eastAsia="宋体" w:cs="宋体"/>
          <w:kern w:val="0"/>
          <w:sz w:val="32"/>
          <w:szCs w:val="32"/>
        </w:rPr>
        <w:t>二〇一八</w:t>
      </w:r>
      <w:r>
        <w:rPr>
          <w:rFonts w:hint="eastAsia"/>
          <w:sz w:val="32"/>
          <w:szCs w:val="32"/>
          <w:lang w:val="en-US" w:eastAsia="zh-CN"/>
        </w:rPr>
        <w:t>年十二月十五日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2336" behindDoc="0" locked="0" layoutInCell="1" allowOverlap="1">
                <wp:simplePos x="0" y="0"/>
                <wp:positionH relativeFrom="column">
                  <wp:posOffset>-206375</wp:posOffset>
                </wp:positionH>
                <wp:positionV relativeFrom="paragraph">
                  <wp:posOffset>387985</wp:posOffset>
                </wp:positionV>
                <wp:extent cx="5715000" cy="0"/>
                <wp:effectExtent l="0" t="13970" r="0" b="2413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6.25pt;margin-top:30.55pt;height:0pt;width:450pt;z-index:251662336;mso-width-relative:page;mso-height-relative:page;" filled="f" stroked="t" coordsize="21600,21600" o:gfxdata="UEsDBAoAAAAAAIdO4kAAAAAAAAAAAAAAAAAEAAAAZHJzL1BLAwQUAAAACACHTuJA8B4AVdYAAAAJ&#10;AQAADwAAAGRycy9kb3ducmV2LnhtbE2PTU/DMAyG70j8h8hI3La0RZSqNJ0AwQ0JUT52zRrTVGuc&#10;qsm67t9jxAGOfv3o9eNqs7hBzDiF3pOCdJ2AQGq96alT8P72tCpAhKjJ6METKjhhgE19flbp0vgj&#10;veLcxE5wCYVSK7AxjqWUobXodFj7EYl3X35yOvI4ddJM+sjlbpBZkuTS6Z74gtUjPlhs983BKVg+&#10;izu7fY73j/7jxe6XbePm7KTU5UWa3IKIuMQ/GH70WR1qdtr5A5kgBgWrq+yaUQV5moJgoMhvONj9&#10;BrKu5P8P6m9QSwMEFAAAAAgAh07iQBi1A1nQAQAAawMAAA4AAABkcnMvZTJvRG9jLnhtbK1TzY7T&#10;MBC+I/EOlu80aVdlV1HTPXRVLgtU2uUBXNtJLGyPZbtN+hK8ABI3OHHkztvs8hiM3aawcENcRvH8&#10;fDPfN5PF9WA02UsfFNiaTiclJdJyEMq2NX13v35xRUmIzAqmwcqaHmSg18vnzxa9q+QMOtBCeoIg&#10;NlS9q2kXo6uKIvBOGhYm4KTFYAPesIhP3xbCsx7RjS5mZfmy6MEL54HLENB7cwzSZcZvGsnj26YJ&#10;MhJdU5wtZuuz3SZbLBesaj1zneKnMdg/TGGYstj0DHXDIiM7r/6CMop7CNDECQdTQNMoLjMHZDMt&#10;/2Bz1zEnMxcUJ7izTOH/wfI3+40nStT0ghLLDK7o8eO3hw+ff3z/hPbx6xdykUTqXagwd2U3PtHk&#10;g71zt8DfB2Jh1THbyjzs/cEhwjRVFE9K0iM4bLXtX4PAHLaLkBUbGm8SJGpBhryYw3kxcoiEo3N+&#10;OZ2XJe6Pj7GCVWOh8yG+kmBI+qipVjZpxiq2vw0xDcKqMSW5LayV1nnv2pK+prOr+eU8VwTQSqRo&#10;ygu+3a60J3uGp7NeY/t8LYj2JM3DzopjF21TncxXd2o90j4KuAVx2PhRG9xoHu50felkfn9nBX/9&#10;I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B4AVdYAAAAJAQAADwAAAAAAAAABACAAAAAiAAAA&#10;ZHJzL2Rvd25yZXYueG1sUEsBAhQAFAAAAAgAh07iQBi1A1nQAQAAawMAAA4AAAAAAAAAAQAgAAAA&#10;JQEAAGRycy9lMm9Eb2MueG1sUEsFBgAAAAAGAAYAWQEAAGcFA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主题词：</w:t>
      </w:r>
      <w:r>
        <w:rPr>
          <w:rFonts w:hint="eastAsia" w:asciiTheme="minorEastAsia" w:hAnsiTheme="minorEastAsia" w:cstheme="minorEastAsia"/>
          <w:kern w:val="0"/>
          <w:sz w:val="30"/>
          <w:szCs w:val="30"/>
          <w:lang w:eastAsia="zh-CN"/>
        </w:rPr>
        <w:t>行业自律，规范物业服务评估监理活动有关问题的通知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eastAsia="zh-CN"/>
        </w:rPr>
      </w:pPr>
      <w:r>
        <w:rPr>
          <w:rFonts w:hint="eastAsia" w:asciiTheme="minorEastAsia" w:hAnsiTheme="minorEastAsia" w:eastAsiaTheme="minorEastAsia" w:cstheme="minorEastAsia"/>
          <w:kern w:val="0"/>
          <w:sz w:val="30"/>
          <w:szCs w:val="30"/>
        </w:rPr>
        <w:t>主</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送：</w:t>
      </w:r>
      <w:r>
        <w:rPr>
          <w:rFonts w:hint="eastAsia" w:asciiTheme="minorEastAsia" w:hAnsiTheme="minorEastAsia" w:eastAsiaTheme="minorEastAsia" w:cstheme="minorEastAsia"/>
          <w:kern w:val="0"/>
          <w:sz w:val="30"/>
          <w:szCs w:val="30"/>
          <w:lang w:eastAsia="zh-CN"/>
        </w:rPr>
        <w:t>各会员</w:t>
      </w:r>
      <w:r>
        <w:rPr>
          <w:rFonts w:hint="eastAsia" w:asciiTheme="minorEastAsia" w:hAnsiTheme="minorEastAsia" w:cstheme="minorEastAsia"/>
          <w:kern w:val="0"/>
          <w:sz w:val="30"/>
          <w:szCs w:val="30"/>
          <w:lang w:eastAsia="zh-CN"/>
        </w:rPr>
        <w:t>机构</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抄</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宋体" w:hAnsi="宋体" w:eastAsia="宋体" w:cs="宋体"/>
          <w:kern w:val="0"/>
          <w:sz w:val="32"/>
          <w:szCs w:val="32"/>
          <w:lang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3360" behindDoc="0" locked="0" layoutInCell="1" allowOverlap="1">
                <wp:simplePos x="0" y="0"/>
                <wp:positionH relativeFrom="column">
                  <wp:posOffset>-190500</wp:posOffset>
                </wp:positionH>
                <wp:positionV relativeFrom="paragraph">
                  <wp:posOffset>-3810</wp:posOffset>
                </wp:positionV>
                <wp:extent cx="5715000" cy="0"/>
                <wp:effectExtent l="0" t="13970" r="0" b="2413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5pt;margin-top:-0.3pt;height:0pt;width:450pt;z-index:251663360;mso-width-relative:page;mso-height-relative:page;" filled="f" stroked="t" coordsize="21600,21600" o:gfxdata="UEsDBAoAAAAAAIdO4kAAAAAAAAAAAAAAAAAEAAAAZHJzL1BLAwQUAAAACACHTuJAIIeFvdQAAAAH&#10;AQAADwAAAGRycy9kb3ducmV2LnhtbE2PTU/DMAyG70j8h8hI3LZkQxpV13QCBDckRPnYNWu8plrj&#10;VE3Wdf8ejwvc/Oi1Xj8uNpPvxIhDbANpWMwVCKQ62JYaDZ8fL7MMREyGrOkCoYYzRtiU11eFyW04&#10;0TuOVWoEl1DMjQaXUp9LGWuH3sR56JE424fBm8Q4NNIO5sTlvpNLpVbSm5b4gjM9PjmsD9XRa5i+&#10;swe3fU2Pz+HrzR2mbeXH5Vnr25uFWoNIOKW/ZbjoszqU7LQLR7JRdBpmd4p/STysQHCe3V9498uy&#10;LOR///IHUEsDBBQAAAAIAIdO4kDciPJm0AEAAGsDAAAOAAAAZHJzL2Uyb0RvYy54bWytU82O0zAQ&#10;viPxDpbvNGmlsquo6R66KpcFKu3yAK7tJBa2x7LdJn0JXgCJG5w4cudt2H0Mxm5Tdpcb4jKK5+eb&#10;+b6ZLK4Go8le+qDA1nQ6KSmRloNQtq3ph7v1q0tKQmRWMA1W1vQgA71avnyx6F0lZ9CBFtITBLGh&#10;6l1NuxhdVRSBd9KwMAEnLQYb8IZFfPq2EJ71iG50MSvL10UPXjgPXIaA3utjkC4zftNIHt83TZCR&#10;6JribDFbn+022WK5YFXrmesUP43B/mEKw5TFpmeoaxYZ2Xn1F5RR3EOAJk44mAKaRnGZOSCbafmM&#10;zW3HnMxcUJzgzjKF/wfL3+03nihR0xkllhlc0f3nH78+fX34+QXt/fdvZJZE6l2oMHdlNz7R5IO9&#10;dTfAPwZiYdUx28o87N3BIcI0VRRPStIjOGy17d+CwBy2i5AVGxpvEiRqQYa8mMN5MXKIhKNzfjGd&#10;lyXuj4+xglVjofMhvpFgSPqoqVY2acYqtr8JMQ3CqjEluS2sldZ579qSHolfzi/muSKAViJFU17w&#10;7XalPdkzPJ31Gtvna0G0J2kedlYcu2ib6mS+ulPrkfZRwC2Iw8aP2uBG83Cn60sn8/idFfzzjy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CHhb3UAAAABwEAAA8AAAAAAAAAAQAgAAAAIgAAAGRy&#10;cy9kb3ducmV2LnhtbFBLAQIUABQAAAAIAIdO4kDciPJm0AEAAGsDAAAOAAAAAAAAAAEAIAAAACMB&#10;AABkcnMvZTJvRG9jLnhtbFBLBQYAAAAABgAGAFkBAABlBQ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 xml:space="preserve">北京市物业服务评估监理协会秘书处     </w:t>
      </w:r>
      <w:r>
        <w:rPr>
          <w:rFonts w:hint="eastAsia" w:asciiTheme="minorEastAsia" w:hAnsi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 xml:space="preserve">  201</w:t>
      </w:r>
      <w:r>
        <w:rPr>
          <w:rFonts w:hint="eastAsia" w:asciiTheme="minorEastAsia" w:hAnsiTheme="minorEastAsia" w:cstheme="minorEastAsia"/>
          <w:kern w:val="0"/>
          <w:sz w:val="30"/>
          <w:szCs w:val="30"/>
          <w:lang w:val="en-US" w:eastAsia="zh-CN"/>
        </w:rPr>
        <w:t>9</w:t>
      </w:r>
      <w:bookmarkStart w:id="0" w:name="_GoBack"/>
      <w:bookmarkEnd w:id="0"/>
      <w:r>
        <w:rPr>
          <w:rFonts w:hint="eastAsia" w:asciiTheme="minorEastAsia" w:hAnsiTheme="minorEastAsia" w:eastAsiaTheme="minorEastAsia" w:cstheme="minorEastAsia"/>
          <w:kern w:val="0"/>
          <w:sz w:val="30"/>
          <w:szCs w:val="30"/>
        </w:rPr>
        <w:t>年</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月</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日发</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panose1 w:val="02010601030101010101"/>
    <w:charset w:val="86"/>
    <w:family w:val="script"/>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60016AC"/>
    <w:rsid w:val="076112F5"/>
    <w:rsid w:val="09A1414B"/>
    <w:rsid w:val="0B8F4C3C"/>
    <w:rsid w:val="22CB4CF4"/>
    <w:rsid w:val="23FD49EB"/>
    <w:rsid w:val="2E5D5B02"/>
    <w:rsid w:val="30827DA8"/>
    <w:rsid w:val="343E2870"/>
    <w:rsid w:val="37A76158"/>
    <w:rsid w:val="391D34EE"/>
    <w:rsid w:val="3F36143D"/>
    <w:rsid w:val="41987863"/>
    <w:rsid w:val="45932727"/>
    <w:rsid w:val="4D8316F6"/>
    <w:rsid w:val="4FBC672F"/>
    <w:rsid w:val="520B77DD"/>
    <w:rsid w:val="5369499C"/>
    <w:rsid w:val="58D41789"/>
    <w:rsid w:val="735E29F8"/>
    <w:rsid w:val="75345445"/>
    <w:rsid w:val="760016A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qFormat/>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32</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2018-10-22T05:17:00Z</dcterms:created>
  <dc:creator>吉米萝卜丝</dc:creator>
  <cp:lastModifiedBy>吉米萝卜丝</cp:lastModifiedBy>
  <dcterms:modified xsi:type="dcterms:W3CDTF">2018-12-14T02:19:34Z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